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Fac-simile modello richiesta parere Corte dei Conti</w:t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Spett.le Consiglio delle Autonomie Locali</w:t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</w:rPr>
      </w:pPr>
      <w:r>
        <w:rPr>
          <w:rFonts w:cs="Arial" w:ascii="Arial" w:hAnsi="Arial"/>
        </w:rPr>
        <w:t>c/o Consiglio regionale-Assemblea Legislativa delle Marche</w:t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</w:rPr>
      </w:pPr>
      <w:r>
        <w:rPr>
          <w:rFonts w:cs="Arial" w:ascii="Arial" w:hAnsi="Arial"/>
        </w:rPr>
        <w:t xml:space="preserve">P.zza Cavour, 23 </w:t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</w:rPr>
      </w:pPr>
      <w:r>
        <w:rPr>
          <w:rFonts w:cs="Arial" w:ascii="Arial" w:hAnsi="Arial"/>
        </w:rPr>
        <w:t>60121 Ancona</w:t>
      </w:r>
    </w:p>
    <w:p>
      <w:pPr>
        <w:pStyle w:val="Normal"/>
        <w:spacing w:lineRule="auto" w:line="360" w:before="0" w:after="0"/>
        <w:jc w:val="right"/>
        <w:rPr>
          <w:rStyle w:val="CollegamentoInternet"/>
          <w:rFonts w:cs="Arial" w:ascii="Arial" w:hAnsi="Arial"/>
        </w:rPr>
      </w:pPr>
      <w:hyperlink r:id="rId2">
        <w:r>
          <w:rPr>
            <w:rStyle w:val="CollegamentoInternet"/>
            <w:rFonts w:cs="Arial" w:ascii="Arial" w:hAnsi="Arial"/>
          </w:rPr>
          <w:t>assemblea.marche.cal@emarche.it</w:t>
        </w:r>
      </w:hyperlink>
    </w:p>
    <w:p>
      <w:pPr>
        <w:pStyle w:val="Normal"/>
        <w:spacing w:lineRule="auto" w:line="360" w:before="0" w:after="0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right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 p.c. Spett.le Sezione regionale della Corte dei Conti</w:t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1701" w:after="198"/>
        <w:jc w:val="both"/>
        <w:rPr>
          <w:rFonts w:cs="Arial" w:ascii="Arial" w:hAnsi="Arial"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Oggetto: Richiesta di parere ai sensi dell’articolo 7, comma 8, della legge131/2003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sottoscritto </w:t>
      </w:r>
      <w:bookmarkStart w:id="0" w:name="Testo11"/>
      <w:r>
        <w:rPr>
          <w:rFonts w:cs="Arial" w:ascii="Arial" w:hAnsi="Arial"/>
          <w:sz w:val="24"/>
          <w:szCs w:val="24"/>
        </w:rPr>
        <w:t>_________________________________________________________(</w:t>
      </w:r>
      <w:bookmarkEnd w:id="0"/>
      <w:r>
        <w:rPr>
          <w:rFonts w:cs="Arial" w:ascii="Arial" w:hAnsi="Arial"/>
        </w:rPr>
        <w:t>1)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1134" w:after="198"/>
        <w:jc w:val="center"/>
        <w:rPr>
          <w:rFonts w:cs="Arial" w:ascii="Arial" w:hAnsi="Arial"/>
          <w:b/>
          <w:bCs/>
          <w:sz w:val="24"/>
          <w:szCs w:val="24"/>
        </w:rPr>
      </w:pPr>
      <w:bookmarkStart w:id="1" w:name="Testo51"/>
      <w:bookmarkStart w:id="2" w:name="Testo41"/>
      <w:bookmarkEnd w:id="1"/>
      <w:r>
        <w:rPr>
          <w:rFonts w:cs="Arial" w:ascii="Arial" w:hAnsi="Arial"/>
          <w:b/>
          <w:bCs/>
          <w:sz w:val="24"/>
          <w:szCs w:val="24"/>
        </w:rPr>
        <w:t>RIVOLGE</w:t>
      </w:r>
    </w:p>
    <w:p>
      <w:pPr>
        <w:pStyle w:val="Normal"/>
        <w:spacing w:lineRule="atLeast" w:line="100"/>
        <w:jc w:val="center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alla Corte dei Conti Sezione Regionale di controllo per le Marche </w:t>
      </w:r>
    </w:p>
    <w:p>
      <w:pPr>
        <w:pStyle w:val="Normal"/>
        <w:spacing w:lineRule="atLeast" w:line="100"/>
        <w:jc w:val="center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per il tramite del Consiglio delle Autonomie Locali</w:t>
      </w:r>
    </w:p>
    <w:p>
      <w:pPr>
        <w:pStyle w:val="Normal"/>
        <w:jc w:val="center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La seguente richiesta di parere (2):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ageBreakBefore/>
        <w:jc w:val="both"/>
        <w:rPr>
          <w:rFonts w:cs="Arial" w:ascii="Arial" w:hAnsi="Arial"/>
          <w:sz w:val="24"/>
          <w:szCs w:val="24"/>
        </w:rPr>
      </w:pPr>
      <w:bookmarkStart w:id="3" w:name="Testo41"/>
      <w:r>
        <w:rPr>
          <w:rFonts w:cs="Arial" w:ascii="Arial" w:hAnsi="Arial"/>
          <w:sz w:val="24"/>
          <w:szCs w:val="24"/>
        </w:rPr>
        <w:t xml:space="preserve">Ai fini dell'ammissibilità della stessa, </w:t>
      </w:r>
      <w:bookmarkEnd w:id="3"/>
      <w:r>
        <w:rPr>
          <w:rFonts w:cs="Arial" w:ascii="Arial" w:hAnsi="Arial"/>
          <w:sz w:val="24"/>
          <w:szCs w:val="24"/>
        </w:rPr>
        <w:t xml:space="preserve">il richiedente Sindaco/Presidente di Provincia/ Commissario </w:t>
      </w:r>
    </w:p>
    <w:p>
      <w:pPr>
        <w:pStyle w:val="Normal"/>
        <w:spacing w:before="0" w:after="113"/>
        <w:jc w:val="center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DICHIARA  IN PARTICOLARE </w:t>
      </w:r>
      <w:r>
        <w:rPr>
          <w:rFonts w:cs="Arial" w:ascii="Arial" w:hAnsi="Arial"/>
          <w:b w:val="false"/>
          <w:bCs w:val="false"/>
          <w:sz w:val="24"/>
          <w:szCs w:val="24"/>
        </w:rPr>
        <w:t>(3)</w:t>
      </w:r>
      <w:r>
        <w:rPr>
          <w:rFonts w:cs="Arial" w:ascii="Arial" w:hAnsi="Arial"/>
          <w:b/>
          <w:bCs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</w:t>
      </w:r>
      <w:r>
        <w:rPr>
          <w:rFonts w:cs="Arial" w:ascii="Arial" w:hAnsi="Arial"/>
          <w:b w:val="false"/>
          <w:bCs w:val="false"/>
          <w:sz w:val="24"/>
          <w:szCs w:val="24"/>
        </w:rPr>
        <w:t>disposizione di legge</w:t>
      </w:r>
      <w:r>
        <w:rPr>
          <w:rFonts w:cs="Arial" w:ascii="Arial" w:hAnsi="Arial"/>
          <w:sz w:val="24"/>
          <w:szCs w:val="24"/>
        </w:rPr>
        <w:t xml:space="preserve"> di cui si chiede l'interpretazione è ____________________;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</w:rPr>
        <w:t xml:space="preserve">la propria </w:t>
      </w:r>
      <w:r>
        <w:rPr>
          <w:rFonts w:cs="Arial" w:ascii="Arial" w:hAnsi="Arial"/>
          <w:b w:val="false"/>
          <w:bCs w:val="false"/>
          <w:sz w:val="24"/>
          <w:szCs w:val="24"/>
        </w:rPr>
        <w:t>tesi interpretativa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in merito alla disposizione di legge citata è __________________________________________________________________;</w:t>
      </w:r>
    </w:p>
    <w:p>
      <w:pPr>
        <w:pStyle w:val="Normal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il quesito proposto ha carattere generale e attiene a temi relativi alla contabilità pubblica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in quanto: ________________________________________________(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4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);</w:t>
      </w:r>
    </w:p>
    <w:p>
      <w:pPr>
        <w:pStyle w:val="Normal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il parere richiesto non riguarda provvedimenti già adottati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da questa Amministrazione,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né profili relativi ai controlli ex articolo 1, commi 166 e seguenti, della legge 266/2005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in quanto:_________________________________________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>;</w:t>
      </w:r>
    </w:p>
    <w:p>
      <w:pPr>
        <w:pStyle w:val="Normal"/>
        <w:jc w:val="both"/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il parere richiesto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non prospetta questioni inerenti alla sussistenza di danni erariali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di competenza della Sezione giurisdizionale della Corte dei Conti in quanto:</w:t>
      </w:r>
    </w:p>
    <w:p>
      <w:pPr>
        <w:pStyle w:val="Normal"/>
        <w:jc w:val="both"/>
        <w:rPr/>
      </w:pPr>
      <w:r>
        <w:rPr/>
        <w:t>________________________________________________________________________________;</w:t>
      </w:r>
    </w:p>
    <w:p>
      <w:pPr>
        <w:pStyle w:val="Normal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spacing w:before="0" w:after="85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sulla materia non risultano pareri di altre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S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ezioni di controllo della Corte dei Conti</w:t>
      </w:r>
    </w:p>
    <w:p>
      <w:pPr>
        <w:pStyle w:val="Normal"/>
        <w:spacing w:before="0" w:after="85"/>
        <w:jc w:val="center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/>
          <w:iCs/>
          <w:color w:val="auto"/>
          <w:sz w:val="24"/>
          <w:szCs w:val="24"/>
          <w:u w:val="none"/>
        </w:rPr>
        <w:t>ovvero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spacing w:before="0" w:after="85"/>
        <w:jc w:val="both"/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sulla materia risultano i seguenti pareri di altre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S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ezioni di controllo della Corte dei Conti __________________________________________________________ (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5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)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>;</w:t>
      </w:r>
    </w:p>
    <w:p>
      <w:pPr>
        <w:pStyle w:val="Normal"/>
        <w:jc w:val="both"/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spacing w:before="0" w:after="57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afferenti al parere richiesto:</w:t>
      </w:r>
    </w:p>
    <w:p>
      <w:pPr>
        <w:pStyle w:val="Normal"/>
        <w:spacing w:before="0" w:after="57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non risultano precedenti giurisprudenziali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o interpretazioni di altri rilevanti organismi pubblici (ARAN, ANCI, UPI, UNCEM, Circolari Ragioneria generale dello Stato … );</w:t>
      </w:r>
    </w:p>
    <w:p>
      <w:pPr>
        <w:pStyle w:val="Normal"/>
        <w:spacing w:before="0" w:after="57"/>
        <w:jc w:val="center"/>
        <w:rPr>
          <w:rFonts w:cs="Arial" w:ascii="Arial" w:hAnsi="Arial"/>
          <w:b w:val="false"/>
          <w:bCs w:val="false"/>
          <w:i/>
          <w:iCs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/>
          <w:iCs/>
          <w:color w:val="auto"/>
          <w:sz w:val="24"/>
          <w:szCs w:val="24"/>
          <w:u w:val="none"/>
        </w:rPr>
        <w:t>ovvero</w:t>
      </w:r>
    </w:p>
    <w:p>
      <w:pPr>
        <w:pStyle w:val="Normal"/>
        <w:spacing w:before="0" w:after="57"/>
        <w:jc w:val="both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risultano precedenti giurisprudenziali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o interpretazioni di altri rilevanti organismi pubblici (ARAN, ANCI, UPI, UNCEM, Circolari Ragioneria generale dello Stato … );</w:t>
      </w:r>
    </w:p>
    <w:p>
      <w:pPr>
        <w:pStyle w:val="Normal"/>
        <w:jc w:val="both"/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______________________________________________________________(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)</w:t>
      </w:r>
      <w:r>
        <w:rPr>
          <w:rFonts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</w:rPr>
        <w:t>;</w:t>
      </w:r>
    </w:p>
    <w:p>
      <w:pPr>
        <w:pStyle w:val="Normal"/>
        <w:jc w:val="left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bookmarkStart w:id="4" w:name="Testo51"/>
      <w:bookmarkStart w:id="5" w:name="Testo91"/>
      <w:bookmarkEnd w:id="4"/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Data          </w:t>
      </w:r>
      <w:bookmarkEnd w:id="5"/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ab/>
        <w:tab/>
        <w:tab/>
        <w:tab/>
        <w:tab/>
      </w:r>
    </w:p>
    <w:p>
      <w:pPr>
        <w:pStyle w:val="Normal"/>
        <w:widowControl/>
        <w:bidi w:val="0"/>
        <w:ind w:left="3315" w:right="0" w:hanging="0"/>
        <w:jc w:val="center"/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Firma del legale rappresentate</w:t>
      </w:r>
    </w:p>
    <w:p>
      <w:pPr>
        <w:pStyle w:val="Normal"/>
        <w:pageBreakBefore/>
        <w:jc w:val="center"/>
        <w:rPr>
          <w:rFonts w:cs="Arial" w:ascii="Arial" w:hAnsi="Arial"/>
          <w:b/>
          <w:bCs/>
          <w:i w:val="false"/>
          <w:iCs w:val="false"/>
          <w:color w:val="auto"/>
          <w:sz w:val="26"/>
          <w:szCs w:val="26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auto"/>
          <w:sz w:val="26"/>
          <w:szCs w:val="26"/>
          <w:u w:val="none"/>
        </w:rPr>
        <w:t>Note esplicative</w:t>
      </w:r>
    </w:p>
    <w:p>
      <w:pPr>
        <w:pStyle w:val="Normal"/>
        <w:widowControl/>
        <w:numPr>
          <w:ilvl w:val="0"/>
          <w:numId w:val="2"/>
        </w:numPr>
        <w:bidi w:val="0"/>
        <w:spacing w:lineRule="atLeast" w:line="100" w:before="0" w:after="0"/>
        <w:ind w:left="705" w:right="0" w:hanging="375"/>
        <w:jc w:val="both"/>
        <w:rPr>
          <w:rFonts w:cs="Arial" w:ascii="Arial" w:hAnsi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La richiesta di parere  deve essere inoltrata al </w:t>
      </w:r>
      <w:r>
        <w:rPr>
          <w:rFonts w:cs="Arial" w:ascii="Arial" w:hAnsi="Arial"/>
          <w:b w:val="false"/>
          <w:bCs w:val="false"/>
          <w:sz w:val="22"/>
          <w:szCs w:val="22"/>
        </w:rPr>
        <w:t>Consiglio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delle Autonomie locali esclusivamente dal Sindaco del Comune, dal Presidente della Provincia o dal Commissario dei predetti enti.</w:t>
      </w:r>
    </w:p>
    <w:p>
      <w:pPr>
        <w:pStyle w:val="Normal"/>
        <w:widowControl/>
        <w:bidi w:val="0"/>
        <w:spacing w:lineRule="atLeast" w:line="100" w:before="0" w:after="0"/>
        <w:ind w:left="0" w:right="0" w:hanging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ab/>
        <w:t>Non sono ammissibili richieste di parere avanzate da soggetti diversi.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 xml:space="preserve">I quesiti devono essere formulati in modo sintetico, chiaro e completo. 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20" w:right="0" w:hanging="363"/>
        <w:jc w:val="both"/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  <w:t>La mancanza delle attestazioni di cui ai numeri 1-7 comporta la restituzione da parte del Consiglio delle Autonomie Locali degli atti ai soggetti istanti per l'eventuale integrazione degli elementi mancanti.</w:t>
      </w:r>
    </w:p>
    <w:p>
      <w:pPr>
        <w:pStyle w:val="Normal"/>
        <w:spacing w:lineRule="atLeast" w:line="100" w:before="0" w:after="0"/>
        <w:ind w:left="708" w:right="0" w:hanging="0"/>
        <w:jc w:val="both"/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  <w:t>Ai fini dell'ammissibilità si specifica quanto segue:</w:t>
      </w:r>
    </w:p>
    <w:p>
      <w:pPr>
        <w:pStyle w:val="Normal"/>
        <w:spacing w:lineRule="atLeast" w:line="100" w:before="0" w:after="0"/>
        <w:ind w:left="708" w:right="0" w:hanging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 xml:space="preserve">I quesiti devono avere ad oggetto l'interpretazione di una singola disposizione di legge e devono essere corredati della documentazione ritenuta necessaria per una piena cognizione della fattispecie. </w:t>
      </w:r>
    </w:p>
    <w:p>
      <w:pPr>
        <w:pStyle w:val="Normal"/>
        <w:spacing w:lineRule="atLeast" w:line="100" w:before="0" w:after="0"/>
        <w:ind w:left="708" w:right="0" w:hanging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>Non possono essere rivolti quesiti aventi ad oggetto provvedimenti già formalmente e compiutamente adottati (anche se ancora non portati a concreta esecuzione), in quanto il parere, destinato unicamente ad illuminare l'organo di amministrazione attiva, verrebbe  a tradursi in una verifica postuma della legittimità dell'atto, incompatibile con il vigente regime dei controlli e con il principio dell'inammissibilità dell'esercizio “ex post” della funzione consultiva.</w:t>
      </w:r>
    </w:p>
    <w:p>
      <w:pPr>
        <w:pStyle w:val="Footnotetext"/>
        <w:spacing w:lineRule="atLeast" w:line="100" w:before="0" w:after="0"/>
        <w:ind w:left="708" w:right="0" w:hanging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>Devono riguardare questioni inerenti alla contabilità pubblica, nella accezione indicata dalla delibera delle Sezioni Riunite 54/2010, relativamente a nozioni interpretative di natura generale e non riguardanti profili concreti di gestione, riservati all'amministrazione. Devono, quindi, essere limitati “alla normativa e ai relativi atti applicativi che disciplinano, in generale, l’attività finanziaria che precede o che segue i distinti interventi di settore, ricomprendendo in particolare la disciplina dei bilanci e i relativi equilibri, l’acquisizione delle entrate, l’organizzazione finanziaria-contabile, la disciplina del patrimonio, la gestione delle spese, l’indebitamento, la rendicontazione e i relativi controlli. (delibera n. 5/2006 Corte dei Conti Sezione delle Autonomie).</w:t>
      </w:r>
    </w:p>
    <w:p>
      <w:pPr>
        <w:pStyle w:val="Footnotetext"/>
        <w:ind w:left="708" w:right="0" w:hanging="0"/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 xml:space="preserve">Non possono investire, inoltre, profili relativi ai controlli ex articolo 1, commi 166 e seguenti della legge 266/2005. </w:t>
      </w:r>
    </w:p>
    <w:p>
      <w:pPr>
        <w:pStyle w:val="Footnotetext"/>
        <w:spacing w:lineRule="atLeast" w:line="100" w:before="0" w:after="0"/>
        <w:ind w:left="708" w:right="0" w:hanging="0"/>
        <w:jc w:val="both"/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  <w:t xml:space="preserve">Devono, comunque, essere evitate richieste di parere finalizzate ad ottenere giudizi dalla Sezione in ordine alla sussistenza o meno di danni erariali in collegamento causale con l’adozione (o mancata adozione) di determinati atti o con l’assunzione (o omissione) di determinati comportamenti gestionali, in quanto valutazioni del genere in sede consultiva potrebbero interferire con le sfere di competenza della Procura Regionale della Corte. </w:t>
      </w:r>
    </w:p>
    <w:p>
      <w:pPr>
        <w:pStyle w:val="Footnotetext"/>
        <w:numPr>
          <w:ilvl w:val="0"/>
          <w:numId w:val="2"/>
        </w:numPr>
        <w:spacing w:lineRule="atLeast" w:line="100" w:before="0" w:after="0"/>
        <w:jc w:val="both"/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  <w:t>Citare le norme di contabilità pubblica coinvolte nel caso di specie.</w:t>
      </w:r>
    </w:p>
    <w:p>
      <w:pPr>
        <w:pStyle w:val="Footnotetext"/>
        <w:numPr>
          <w:ilvl w:val="0"/>
          <w:numId w:val="2"/>
        </w:numPr>
        <w:spacing w:lineRule="atLeast" w:line="100" w:before="0" w:after="0"/>
        <w:jc w:val="both"/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it-IT" w:eastAsia="en-US" w:bidi="ar-SA"/>
        </w:rPr>
        <w:t>Specificare se i pareri resi dalle altre Sezioni della Corte dei Conti sono contrastanti.</w:t>
      </w:r>
    </w:p>
    <w:p>
      <w:pPr>
        <w:pStyle w:val="Footnotetext"/>
        <w:numPr>
          <w:ilvl w:val="0"/>
          <w:numId w:val="2"/>
        </w:numPr>
        <w:jc w:val="both"/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</w:pP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>Barrare la voce che non interessa e citare le pronunce della Corte costituzionale, dell'Autorità giudiziaria ordinaria ed amministrativa, pareri ed interpretazioni dell'ARAN,dell'ANCI, dell'UPI, dell'UNCEM, di altri rilevanti organismi pubblici o circolari della Ragioneria generale dello Stato.</w:t>
      </w:r>
      <w:r>
        <w:rPr>
          <w:rFonts w:eastAsia="SimSun" w:cs="Arial" w:ascii="Arial" w:hAnsi="Arial"/>
          <w:b w:val="false"/>
          <w:bCs w:val="false"/>
          <w:color w:val="auto"/>
          <w:sz w:val="22"/>
          <w:szCs w:val="22"/>
          <w:lang w:val="it-IT" w:eastAsia="en-US" w:bidi="ar-SA"/>
        </w:rPr>
        <w:t>.</w:t>
      </w:r>
    </w:p>
    <w:p>
      <w:pPr>
        <w:pStyle w:val="Footnotetext"/>
        <w:spacing w:lineRule="atLeast" w:line="10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Footnotetext"/>
        <w:spacing w:lineRule="atLeast" w:line="10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Footnotetext"/>
        <w:spacing w:lineRule="atLeast" w:line="10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ltesto"/>
        <w:autoSpaceDE w:val="false"/>
        <w:spacing w:before="0" w:after="0"/>
        <w:jc w:val="center"/>
        <w:rPr>
          <w:i w:val="false"/>
          <w:iCs w:val="false"/>
          <w:color w:val="231F20"/>
          <w:sz w:val="16"/>
          <w:szCs w:val="16"/>
        </w:rPr>
      </w:pPr>
      <w:r>
        <w:rPr>
          <w:i w:val="false"/>
          <w:iCs w:val="false"/>
          <w:color w:val="231F20"/>
          <w:sz w:val="16"/>
          <w:szCs w:val="16"/>
        </w:rPr>
      </w:r>
    </w:p>
    <w:p>
      <w:pPr>
        <w:pStyle w:val="Corpodeltesto"/>
        <w:autoSpaceDE w:val="false"/>
        <w:spacing w:before="0" w:after="0"/>
        <w:jc w:val="center"/>
        <w:rPr>
          <w:rFonts w:ascii="Calibri" w:hAnsi="Calibri"/>
          <w:i w:val="false"/>
          <w:iCs w:val="false"/>
          <w:color w:val="231F20"/>
          <w:sz w:val="16"/>
          <w:szCs w:val="16"/>
        </w:rPr>
      </w:pPr>
      <w:r>
        <w:rPr>
          <w:rFonts w:ascii="Calibri" w:hAnsi="Calibri"/>
          <w:i w:val="false"/>
          <w:iCs w:val="false"/>
          <w:color w:val="231F20"/>
          <w:sz w:val="16"/>
          <w:szCs w:val="16"/>
        </w:rPr>
        <w:t>Tel. 071 2298 363, 071 2298 451</w:t>
      </w:r>
    </w:p>
    <w:p>
      <w:pPr>
        <w:pStyle w:val="Corpodeltesto"/>
        <w:spacing w:before="0" w:after="0"/>
        <w:jc w:val="center"/>
        <w:rPr>
          <w:rStyle w:val="CollegamentoInternet"/>
          <w:rFonts w:ascii="Calibri" w:hAnsi="Calibri"/>
          <w:color w:val="000080"/>
          <w:sz w:val="16"/>
          <w:szCs w:val="16"/>
        </w:rPr>
      </w:pPr>
      <w:r>
        <w:rPr>
          <w:rFonts w:ascii="Calibri" w:hAnsi="Calibri"/>
          <w:color w:val="231F20"/>
          <w:sz w:val="16"/>
          <w:szCs w:val="16"/>
        </w:rPr>
        <w:t xml:space="preserve">e-mail : </w:t>
      </w:r>
      <w:hyperlink r:id="rId3">
        <w:r>
          <w:rPr>
            <w:rStyle w:val="CollegamentoInternet"/>
            <w:rFonts w:ascii="Calibri" w:hAnsi="Calibri"/>
            <w:color w:val="000080"/>
            <w:sz w:val="16"/>
            <w:szCs w:val="16"/>
          </w:rPr>
          <w:t>cal@assemblea.marche.it</w:t>
        </w:r>
      </w:hyperlink>
    </w:p>
    <w:p>
      <w:pPr>
        <w:pStyle w:val="Corpodeltesto"/>
        <w:autoSpaceDE w:val="false"/>
        <w:spacing w:lineRule="atLeast" w:line="100" w:before="0" w:after="0"/>
        <w:jc w:val="center"/>
        <w:rPr>
          <w:rStyle w:val="CollegamentoInternet"/>
          <w:rFonts w:cs="Arial" w:ascii="Calibri" w:hAnsi="Calibri"/>
          <w:sz w:val="16"/>
          <w:szCs w:val="16"/>
        </w:rPr>
      </w:pPr>
      <w:bookmarkStart w:id="6" w:name="__DdeLink__1714_339366840"/>
      <w:r>
        <w:rPr>
          <w:rFonts w:cs="Arial" w:ascii="Calibri" w:hAnsi="Calibri"/>
          <w:color w:val="231F20"/>
          <w:sz w:val="16"/>
          <w:szCs w:val="16"/>
        </w:rPr>
        <w:t>pec:</w:t>
      </w:r>
      <w:hyperlink r:id="rId4">
        <w:r>
          <w:rPr>
            <w:rStyle w:val="CollegamentoInternet"/>
            <w:rFonts w:cs="Arial" w:ascii="Calibri" w:hAnsi="Calibri"/>
            <w:sz w:val="16"/>
            <w:szCs w:val="16"/>
          </w:rPr>
          <w:t>assemblea.marche.cal@emarche.it</w:t>
        </w:r>
      </w:hyperlink>
    </w:p>
    <w:p>
      <w:pPr>
        <w:pStyle w:val="Corpodeltesto"/>
        <w:autoSpaceDE w:val="false"/>
        <w:spacing w:lineRule="atLeast" w:line="100" w:before="0" w:after="0"/>
        <w:jc w:val="center"/>
        <w:rPr>
          <w:rStyle w:val="CollegamentoInternet"/>
          <w:rFonts w:cs="Arial" w:ascii="Arial" w:hAnsi="Arial"/>
          <w:sz w:val="16"/>
          <w:szCs w:val="16"/>
        </w:rPr>
      </w:pPr>
      <w:bookmarkStart w:id="7" w:name="__DdeLink__1714_339366840"/>
      <w:bookmarkEnd w:id="7"/>
      <w:r>
        <w:rPr>
          <w:rStyle w:val="CollegamentoInternet"/>
          <w:rFonts w:cs="Arial" w:ascii="Arial" w:hAnsi="Arial"/>
          <w:sz w:val="16"/>
          <w:szCs w:val="16"/>
        </w:rPr>
        <w:t>http://www.assemblea.marche.it/istituzione/organismi_consiliari/cal/</w:t>
      </w:r>
    </w:p>
    <w:p>
      <w:pPr>
        <w:pStyle w:val="Corpodeltesto"/>
        <w:autoSpaceDE w:val="false"/>
        <w:spacing w:lineRule="atLeast" w:line="100" w:before="0" w:after="0"/>
        <w:jc w:val="center"/>
        <w:rPr>
          <w:rFonts w:cs="Arial" w:ascii="Arial" w:hAnsi="Arial"/>
          <w:color w:val="231F20"/>
          <w:sz w:val="16"/>
          <w:szCs w:val="16"/>
        </w:rPr>
      </w:pPr>
      <w:r>
        <w:rPr>
          <w:rFonts w:cs="Arial" w:ascii="Arial" w:hAnsi="Arial"/>
          <w:color w:val="231F20"/>
          <w:sz w:val="16"/>
          <w:szCs w:val="16"/>
        </w:rPr>
        <w:t>60121 Ancona • Piazza Cavour, 23 • Fax 071 2298 462</w:t>
      </w:r>
    </w:p>
    <w:sectPr>
      <w:type w:val="nextPage"/>
      <w:pgSz w:w="11906" w:h="16838"/>
      <w:pgMar w:left="1134" w:right="1134" w:header="0" w:top="1560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WW8Num1z0">
    <w:name w:val="WW8Num1z0"/>
    <w:rPr>
      <w:rFonts w:cs="Times New Roman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cs="Times New Roman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TestonotaapidipaginaCarattere">
    <w:name w:val="Testo nota a piè di pagina Carattere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edinumerazione">
    <w:name w:val="Carattere di numerazione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pPr>
      <w:spacing w:lineRule="atLeast" w:line="100" w:before="0" w:after="0"/>
    </w:pPr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.cal@emarche.it" TargetMode="External"/><Relationship Id="rId3" Type="http://schemas.openxmlformats.org/officeDocument/2006/relationships/hyperlink" Target="mailto:cal@assemblea.marche.it" TargetMode="External"/><Relationship Id="rId4" Type="http://schemas.openxmlformats.org/officeDocument/2006/relationships/hyperlink" Target="mailto:assemblea.marche.cal@emarch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28090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2013-02-14T10:01:00Z</dcterms:created>
  <dc:creator>isabella.fabi</dc:creator>
  <dc:language>it-IT</dc:language>
  <cp:lastPrinted>2014-03-28T10:42:30Z</cp:lastPrinted>
  <dcterms:modified xsi:type="dcterms:W3CDTF">2014-03-28T10:42:14Z</dcterms:modified>
  <cp:revision>33</cp:revision>
</cp:coreProperties>
</file>